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ПУБЛИЧНАЯ ОФЕРТА</w:t>
      </w:r>
    </w:p>
    <w:p>
      <w:pPr>
        <w:jc w:val="center"/>
      </w:pPr>
      <w:r>
        <w:rPr>
          <w:b/>
          <w:color w:val="17365D"/>
          <w:sz w:val="26"/>
        </w:rPr>
        <w:t>о заключении договора участия в партнёрской программе Statify</w:t>
      </w:r>
    </w:p>
    <w:p>
      <w:pPr>
        <w:jc w:val="center"/>
      </w:pPr>
      <w:r>
        <w:rPr>
          <w:i/>
        </w:rPr>
        <w:t>Редакция от 26 июля 2026 года</w:t>
      </w:r>
    </w:p>
    <w:tbl>
      <w:tblPr>
        <w:tblW w:type="auto" w:w="0"/>
        <w:jc w:val="center"/>
        <w:tblLayout w:type="autofit"/>
        <w:tblLook w:firstColumn="1" w:firstRow="1" w:lastColumn="0" w:lastRow="0" w:noHBand="0" w:noVBand="1" w:val="04A0"/>
      </w:tblPr>
      <w:tblGrid>
        <w:gridCol w:w="9973"/>
      </w:tblGrid>
      <w:tr>
        <w:tc>
          <w:tcPr>
            <w:tcW w:type="dxa" w:w="9973"/>
            <w:shd w:fill="EAF0F7"/>
            <w:vAlign w:val="center"/>
          </w:tcPr>
          <w:p>
            <w:r>
              <w:rPr>
                <w:b/>
              </w:rPr>
              <w:t xml:space="preserve">Внимание. </w:t>
            </w:r>
            <w:r>
              <w:t>Настоящий документ регулирует участие в партнёрской программе Statify. Партнёрами могут быть только юридические лица, индивидуальные предприниматели и плательщики налога на профессиональный доход. Обычные физические лица к участию не допускаются.</w:t>
            </w:r>
          </w:p>
        </w:tc>
      </w:tr>
    </w:tbl>
    <w:p/>
    <w:p>
      <w:r>
        <w:t>Индивидуальный предприниматель Варенцова Наталья Владимировна, ИНН 503208949510, ОГРНИП 319508100111701, именуемая далее «Оператор», настоящим предлагает юридическим лицам, индивидуальным предпринимателям и физическим лицам, применяющим специальный налоговый режим «Налог на профессиональный доход», заключить договор участия в партнёрской программе Statify на изложенных ниже условиях.</w:t>
      </w:r>
    </w:p>
    <w:p>
      <w:r>
        <w:t>Настоящий документ является офертой в смысле статьи 435 Гражданского кодекса Российской Федерации. Регистрация в партнёрском кабинете, проставление отметки о согласии с условиями и нажатие кнопки принятия оферты являются полным и безоговорочным акцептом в соответствии со статьёй 438 Гражданского кодекса Российской Федерации.</w:t>
      </w:r>
    </w:p>
    <w:p>
      <w:r>
        <w:t>Договор считается заключённым в электронной форме с момента акцепта. Акцепт допускается только лицом, обладающим необходимой правоспособностью, полномочиями и допустимым статусом Партнёра.</w:t>
      </w:r>
    </w:p>
    <w:p>
      <w:pPr>
        <w:pStyle w:val="Heading1"/>
      </w:pPr>
      <w:r>
        <w:t>1. Термины и определения</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4986"/>
            <w:shd w:fill="D9E5F3"/>
          </w:tcPr>
          <w:p>
            <w:r>
              <w:t>Термин</w:t>
            </w:r>
          </w:p>
        </w:tc>
        <w:tc>
          <w:tcPr>
            <w:tcW w:type="dxa" w:w="4986"/>
            <w:shd w:fill="D9E5F3"/>
          </w:tcPr>
          <w:p>
            <w:r>
              <w:t>Значение</w:t>
            </w:r>
          </w:p>
        </w:tc>
      </w:tr>
      <w:tr>
        <w:tc>
          <w:tcPr>
            <w:tcW w:type="dxa" w:w="4986"/>
          </w:tcPr>
          <w:p>
            <w:r>
              <w:t>Statify / Сервис</w:t>
            </w:r>
          </w:p>
        </w:tc>
        <w:tc>
          <w:tcPr>
            <w:tcW w:type="dxa" w:w="4986"/>
          </w:tcPr>
          <w:p>
            <w:r>
              <w:t>программный сервис, доступный через сайт и связанные интерфейсы Statify, предназначенный для работы с данными и аналитикой магазинов пользователей.</w:t>
            </w:r>
          </w:p>
        </w:tc>
      </w:tr>
      <w:tr>
        <w:tc>
          <w:tcPr>
            <w:tcW w:type="dxa" w:w="4986"/>
          </w:tcPr>
          <w:p>
            <w:r>
              <w:t>Оператор</w:t>
            </w:r>
          </w:p>
        </w:tc>
        <w:tc>
          <w:tcPr>
            <w:tcW w:type="dxa" w:w="4986"/>
          </w:tcPr>
          <w:p>
            <w:r>
              <w:t>ИП Варенцова Наталья Владимировна, организующая работу Партнёрской программы, учитывающая привлечения, рассчитывающая вознаграждение и осуществляющая выплаты.</w:t>
            </w:r>
          </w:p>
        </w:tc>
      </w:tr>
      <w:tr>
        <w:tc>
          <w:tcPr>
            <w:tcW w:type="dxa" w:w="4986"/>
          </w:tcPr>
          <w:p>
            <w:r>
              <w:t>Партнёр</w:t>
            </w:r>
          </w:p>
        </w:tc>
        <w:tc>
          <w:tcPr>
            <w:tcW w:type="dxa" w:w="4986"/>
          </w:tcPr>
          <w:p>
            <w:r>
              <w:t>принявшее Оферту юридическое лицо, индивидуальный предприниматель либо плательщик налога на профессиональный доход, допущенный Оператором к участию в Программе.</w:t>
            </w:r>
          </w:p>
        </w:tc>
      </w:tr>
      <w:tr>
        <w:tc>
          <w:tcPr>
            <w:tcW w:type="dxa" w:w="4986"/>
          </w:tcPr>
          <w:p>
            <w:r>
              <w:t>Клиент</w:t>
            </w:r>
          </w:p>
        </w:tc>
        <w:tc>
          <w:tcPr>
            <w:tcW w:type="dxa" w:w="4986"/>
          </w:tcPr>
          <w:p>
            <w:r>
              <w:t>новый пользователь Statify, аккаунт которого надлежащим образом закреплён за Партнёром при регистрации.</w:t>
            </w:r>
          </w:p>
        </w:tc>
      </w:tr>
      <w:tr>
        <w:tc>
          <w:tcPr>
            <w:tcW w:type="dxa" w:w="4986"/>
          </w:tcPr>
          <w:p>
            <w:r>
              <w:t>Аккаунт Клиента</w:t>
            </w:r>
          </w:p>
        </w:tc>
        <w:tc>
          <w:tcPr>
            <w:tcW w:type="dxa" w:w="4986"/>
          </w:tcPr>
          <w:p>
            <w:r>
              <w:t>единая учётная запись пользователя Statify, к которой может относиться один или несколько Магазинов.</w:t>
            </w:r>
          </w:p>
        </w:tc>
      </w:tr>
      <w:tr>
        <w:tc>
          <w:tcPr>
            <w:tcW w:type="dxa" w:w="4986"/>
          </w:tcPr>
          <w:p>
            <w:r>
              <w:t>Магазин</w:t>
            </w:r>
          </w:p>
        </w:tc>
        <w:tc>
          <w:tcPr>
            <w:tcW w:type="dxa" w:w="4986"/>
          </w:tcPr>
          <w:p>
            <w:r>
              <w:t>подключённый к Аккаунту Клиента объект учёта, имеющий собственный тариф, период доступа, платежи и состояние обслуживания.</w:t>
            </w:r>
          </w:p>
        </w:tc>
      </w:tr>
      <w:tr>
        <w:tc>
          <w:tcPr>
            <w:tcW w:type="dxa" w:w="4986"/>
          </w:tcPr>
          <w:p>
            <w:r>
              <w:t>Партнёрский источник</w:t>
            </w:r>
          </w:p>
        </w:tc>
        <w:tc>
          <w:tcPr>
            <w:tcW w:type="dxa" w:w="4986"/>
          </w:tcPr>
          <w:p>
            <w:r>
              <w:t>персональная ссылка или промокод Партнёра, используемые для фиксации источника привлечения до регистрации Клиента.</w:t>
            </w:r>
          </w:p>
        </w:tc>
      </w:tr>
      <w:tr>
        <w:tc>
          <w:tcPr>
            <w:tcW w:type="dxa" w:w="4986"/>
          </w:tcPr>
          <w:p>
            <w:r>
              <w:t>Атрибуция</w:t>
            </w:r>
          </w:p>
        </w:tc>
        <w:tc>
          <w:tcPr>
            <w:tcW w:type="dxa" w:w="4986"/>
          </w:tcPr>
          <w:p>
            <w:r>
              <w:t>однократное закрепление нового Аккаунта Клиента за конкретным Партнёром.</w:t>
            </w:r>
          </w:p>
        </w:tc>
      </w:tr>
      <w:tr>
        <w:tc>
          <w:tcPr>
            <w:tcW w:type="dxa" w:w="4986"/>
          </w:tcPr>
          <w:p>
            <w:r>
              <w:t>Расчётный день</w:t>
            </w:r>
          </w:p>
        </w:tc>
        <w:tc>
          <w:tcPr>
            <w:tcW w:type="dxa" w:w="4986"/>
          </w:tcPr>
          <w:p>
            <w:r>
              <w:t>полный календарный день фактически оказанного и оплаченного доступа к Сервису, за который может быть рассчитано Вознаграждение.</w:t>
            </w:r>
          </w:p>
        </w:tc>
      </w:tr>
      <w:tr>
        <w:tc>
          <w:tcPr>
            <w:tcW w:type="dxa" w:w="4986"/>
          </w:tcPr>
          <w:p>
            <w:r>
              <w:t>Начисление</w:t>
            </w:r>
          </w:p>
        </w:tc>
        <w:tc>
          <w:tcPr>
            <w:tcW w:type="dxa" w:w="4986"/>
          </w:tcPr>
          <w:p>
            <w:r>
              <w:t>учётная запись о части Вознаграждения, рассчитанной за конкретный Расчётный день, Магазин и подтверждённое основание оплаты.</w:t>
            </w:r>
          </w:p>
        </w:tc>
      </w:tr>
      <w:tr>
        <w:tc>
          <w:tcPr>
            <w:tcW w:type="dxa" w:w="4986"/>
          </w:tcPr>
          <w:p>
            <w:r>
              <w:t>Реестр выплат</w:t>
            </w:r>
          </w:p>
        </w:tc>
        <w:tc>
          <w:tcPr>
            <w:tcW w:type="dxa" w:w="4986"/>
          </w:tcPr>
          <w:p>
            <w:r>
              <w:t>формируемый Оператором документ или электронная запись, объединяющая Начисления Партнёра за расчётный период.</w:t>
            </w:r>
          </w:p>
        </w:tc>
      </w:tr>
      <w:tr>
        <w:tc>
          <w:tcPr>
            <w:tcW w:type="dxa" w:w="4986"/>
          </w:tcPr>
          <w:p>
            <w:r>
              <w:t>Серьёзное нарушение</w:t>
            </w:r>
          </w:p>
        </w:tc>
        <w:tc>
          <w:tcPr>
            <w:tcW w:type="dxa" w:w="4986"/>
          </w:tcPr>
          <w:p>
            <w:r>
              <w:t>существенное или неоднократное нарушение Оферты, законодательства, правил рекламы, прав третьих лиц либо требований Оператора, создающее правовые, финансовые, технические или репутационные риски.</w:t>
            </w:r>
          </w:p>
        </w:tc>
      </w:tr>
    </w:tbl>
    <w:p>
      <w:pPr/>
      <w:r>
        <w:t>1.1. Оператор — Индивидуальный предприниматель Варенцова Наталья Владимировна, предоставляющая сервис Statify и являющаяся стороной настоящего договора.</w:t>
      </w:r>
    </w:p>
    <w:p>
      <w:pPr/>
      <w:r>
        <w:t>1.2. Statify — программный сервис Оператора, доступный через сайт и связанные с ним интерфейсы.</w:t>
      </w:r>
    </w:p>
    <w:p>
      <w:pPr/>
      <w:r>
        <w:t>1.3. Партнёр — юридическое лицо, индивидуальный предприниматель или физическое лицо, применяющее специальный налоговый режим «Налог на профессиональный доход», акцептовавшее настоящую Оферту.</w:t>
      </w:r>
    </w:p>
    <w:p>
      <w:pPr/>
      <w:r>
        <w:t>1.4. Клиент — новый пользователь Statify, зарегистрированный с использованием действующего Партнёрского источника и закреплённый системой за Партнёром.</w:t>
      </w:r>
    </w:p>
    <w:p>
      <w:pPr/>
      <w:r>
        <w:t>1.5. Аккаунт — учётная запись Клиента в Statify. Магазин — подключённый к Аккаунту объект обслуживания с собственными оплатами и периодами доступа.</w:t>
      </w:r>
    </w:p>
    <w:p>
      <w:pPr/>
      <w:r>
        <w:t>1.6. Партнёрский источник — персональная ссылка или промокод Партнёра, используемые для фиксации привлечения до регистрации Клиента.</w:t>
      </w:r>
    </w:p>
    <w:p>
      <w:pPr/>
      <w:r>
        <w:t>1.7. Начисление — сумма партнёрского Вознаграждения, рассчитанная за фактически оказанный оплаченный день доступа. Реестр выплат — сформированный Оператором перечень закрытых Начислений, подлежащих выплате Партнёру.</w:t>
      </w:r>
    </w:p>
    <w:p>
      <w:pPr>
        <w:pStyle w:val="Heading1"/>
      </w:pPr>
      <w:r>
        <w:t>2. Предмет договора</w:t>
      </w:r>
    </w:p>
    <w:p>
      <w:r>
        <w:t>2.1. Партнёр самостоятельно осуществляет информационное и рекламное продвижение Statify, направленное на привлечение новых Клиентов, а Оператор учитывает результаты привлечения и выплачивает Партнёру Вознаграждение в порядке, предусмотренном Офертой.</w:t>
      </w:r>
    </w:p>
    <w:p>
      <w:r>
        <w:t>2.2. Партнёр не является агентом, коммерческим представителем, работником, филиалом или подразделением Оператора. Партнёр не вправе заключать сделки, принимать платежи, давать гарантии, изменять условия использования Statify либо принимать обязательства от имени Оператора.</w:t>
      </w:r>
    </w:p>
    <w:p>
      <w:r>
        <w:t>2.3. Оферта не устанавливает трудовых отношений, режима рабочего времени, должности, подчинения, гарантированного объёма заданий или гарантированного дохода.</w:t>
      </w:r>
    </w:p>
    <w:p>
      <w:r>
        <w:t>2.4. Партнёр самостоятельно определяет способы, места, время и интенсивность продвижения в пределах законодательства и Оферты. Отсутствие новых привлечений, входов в кабинет или иной активности не прекращает права на Вознаграждение по ранее привлечённым платящим аккаунтам.</w:t>
      </w:r>
    </w:p>
    <w:p>
      <w:pPr>
        <w:pStyle w:val="Heading1"/>
      </w:pPr>
      <w:r>
        <w:t>3. Требования к Партнёру и акцепт</w:t>
      </w:r>
    </w:p>
    <w:p>
      <w:r>
        <w:t>3.1. Партнёром может быть только:</w:t>
      </w:r>
    </w:p>
    <w:p>
      <w:pPr>
        <w:pStyle w:val="ListBullet"/>
      </w:pPr>
      <w:r>
        <w:t>юридическое лицо, зарегистрированное в соответствии с законодательством Российской Федерации;</w:t>
      </w:r>
    </w:p>
    <w:p>
      <w:pPr>
        <w:pStyle w:val="ListBullet"/>
      </w:pPr>
      <w:r>
        <w:t>индивидуальный предприниматель;</w:t>
      </w:r>
    </w:p>
    <w:p>
      <w:pPr>
        <w:pStyle w:val="ListBullet"/>
      </w:pPr>
      <w:r>
        <w:t>физическое лицо, применяющее специальный налоговый режим «Налог на профессиональный доход» (самозанятый).</w:t>
      </w:r>
    </w:p>
    <w:p>
      <w:r>
        <w:t>3.2. Физические лица, не имеющие статуса индивидуального предпринимателя и не применяющие налог на профессиональный доход, к участию не допускаются.</w:t>
      </w:r>
    </w:p>
    <w:p>
      <w:r>
        <w:t>3.3. Акцептуя Оферту, Партнёр подтверждает достоверность представленных сведений, наличие полномочий, отсутствие запрета на ведение соответствующей деятельности и согласие на электронный документооборот через кабинет и электронную почту.</w:t>
      </w:r>
    </w:p>
    <w:p>
      <w:r>
        <w:t>3.4. Оператор вправе до начала выплат запросить документы и сведения, подтверждающие статус, полномочия, банковские реквизиты, налоговый режим и личность уполномоченного лица. До завершения проверки выплаты могут быть приостановлены без прекращения корректного учёта Начислений.</w:t>
      </w:r>
    </w:p>
    <w:p>
      <w:r>
        <w:t>3.5. Самозанятый обязан сохранять статус плательщика НПД, незамедлительно сообщать об утрате статуса и формировать чек в порядке и сроки, предусмотренные законодательством. При утрате допустимого статуса новые выплаты приостанавливаются до надлежащего оформления отношений.</w:t>
      </w:r>
    </w:p>
    <w:p>
      <w:pPr>
        <w:pStyle w:val="Heading1"/>
      </w:pPr>
      <w:r>
        <w:t>4. Партнёрский кабинет и источники привлечения</w:t>
      </w:r>
    </w:p>
    <w:p>
      <w:r>
        <w:t>4.1. После регистрации Партнёру предоставляется доступ к кабинету, базовой ссылке и базовому промокоду. Партнёр может создавать дополнительные источники для разных каналов продвижения.</w:t>
      </w:r>
    </w:p>
    <w:p>
      <w:r>
        <w:t>4.2. Партнёр обязан обеспечивать конфиденциальность данных доступа. Все действия, совершённые после авторизации, считаются совершёнными Партнёром, пока Оператор не уведомлён о компрометации доступа.</w:t>
      </w:r>
    </w:p>
    <w:p>
      <w:r>
        <w:t>4.3. Дополнительный источник может быть архивирован. С момента архивации он не используется для новых атрибуций, но ранее созданные привязки и относящиеся к ним Начисления сохраняются.</w:t>
      </w:r>
    </w:p>
    <w:p>
      <w:r>
        <w:t>4.4. Оператор вправе отключить или архивировать источник при подозрении на нарушение, технической необходимости, компрометации кода, вводящем в заблуждение использовании либо прекращении участия Партнёра.</w:t>
      </w:r>
    </w:p>
    <w:p>
      <w:pPr>
        <w:pStyle w:val="Heading1"/>
      </w:pPr>
      <w:r>
        <w:t>5. Правила атрибуции Клиентов</w:t>
      </w:r>
    </w:p>
    <w:p>
      <w:r>
        <w:t>5.1. Привлечение засчитывается при одновременном выполнении следующих условий:</w:t>
      </w:r>
    </w:p>
    <w:p>
      <w:pPr>
        <w:pStyle w:val="ListNumber"/>
      </w:pPr>
      <w:r>
        <w:t>пользователь является новым для Statify и проходит новую регистрацию;</w:t>
      </w:r>
    </w:p>
    <w:p>
      <w:pPr>
        <w:pStyle w:val="ListNumber"/>
      </w:pPr>
      <w:r>
        <w:t>до регистрации зафиксирован действующий Партнёрский источник;</w:t>
      </w:r>
    </w:p>
    <w:p>
      <w:pPr>
        <w:pStyle w:val="ListNumber"/>
      </w:pPr>
      <w:r>
        <w:t>регистрация завершена не позднее 30 календарных дней после фиксации перехода либо с использованием действующего промокода;</w:t>
      </w:r>
    </w:p>
    <w:p>
      <w:pPr>
        <w:pStyle w:val="ListNumber"/>
      </w:pPr>
      <w:r>
        <w:t>Партнёр и источник допускают новые привлечения на момент регистрации;</w:t>
      </w:r>
    </w:p>
    <w:p>
      <w:pPr>
        <w:pStyle w:val="ListNumber"/>
      </w:pPr>
      <w:r>
        <w:t>Аккаунт ранее не был закреплён за другим Партнёром;</w:t>
      </w:r>
    </w:p>
    <w:p>
      <w:pPr>
        <w:pStyle w:val="ListNumber"/>
      </w:pPr>
      <w:r>
        <w:t>атрибуция успешно сохранена системой при регистрации.</w:t>
      </w:r>
    </w:p>
    <w:p>
      <w:r>
        <w:t>5.2. Последующие переходы по другим ссылкам, ввод иных промокодов, смена тарифа, добавление или удаление Магазинов не изменяют установленную атрибуцию.</w:t>
      </w:r>
    </w:p>
    <w:p>
      <w:r>
        <w:t>5.3. Уже существующий Аккаунт не может быть задним числом закреплён за Партнёром. Удаление Магазина и его повторное подключение не создают нового привлечения.</w:t>
      </w:r>
    </w:p>
    <w:p>
      <w:r>
        <w:t>5.4. Для предотвращения повторного использования одного и того же Магазина как нового объекта Оператор вправе использовать идентификаторы, технические признаки и фингерпринты Магазинов.</w:t>
      </w:r>
    </w:p>
    <w:p>
      <w:r>
        <w:t>5.5. Данные информационных систем Оператора, журналы событий, сведения платёжных провайдеров и записи атрибуции являются приоритетным источником при определении факта и времени привлечения, если Партнёр не докажет явную техническую ошибку.</w:t>
      </w:r>
    </w:p>
    <w:p>
      <w:pPr>
        <w:pStyle w:val="Heading1"/>
      </w:pPr>
      <w:r>
        <w:t>6. Учёт всех Магазинов привлечённого аккаунта</w:t>
      </w:r>
    </w:p>
    <w:p>
      <w:r>
        <w:t>6.1. Атрибуция создаётся на уровне Аккаунта Клиента. В расчёт Вознаграждения включаются все Магазины, которые относятся к этому Аккаунту и по которым одновременно имеются подтверждённая оплата и фактически оказываемый доступ.</w:t>
      </w:r>
    </w:p>
    <w:p>
      <w:r>
        <w:t>6.2. Для второго и последующих Магазинов повторный переход по ссылке не требуется. Такие Магазины не получают повторную партнёрскую скидку, но участвуют в расчёте Вознаграждения Партнёра после оплаты.</w:t>
      </w:r>
    </w:p>
    <w:p>
      <w:r>
        <w:t>6.3. Удаление Магазина из интерфейса не удаляет историю платежей, атрибуции, Начислений, возвратов и иных финансово значимых событий.</w:t>
      </w:r>
    </w:p>
    <w:p>
      <w:pPr>
        <w:pStyle w:val="Heading1"/>
      </w:pPr>
      <w:r>
        <w:t>7. Скидка привлечённому Клиенту</w:t>
      </w:r>
    </w:p>
    <w:p>
      <w:r>
        <w:t>7.1. Корректно привлечённому Клиенту предоставляется однократная скидка 10% на первые 30 дней оплачиваемого обслуживания при первой успешной оплате в Аккаунте.</w:t>
      </w:r>
    </w:p>
    <w:p>
      <w:r>
        <w:t>7.2. Скидка предоставляется один раз на весь Аккаунт и не возобновляется при добавлении Магазинов, продлении, смене тарифа, создании новых платежей или повторном подключении известного Магазина.</w:t>
      </w:r>
    </w:p>
    <w:p>
      <w:r>
        <w:t>7.3. Неуспешный, отменённый или не завершённый платёж сам по себе не считается окончательным использованием скидки.</w:t>
      </w:r>
    </w:p>
    <w:p>
      <w:r>
        <w:t>7.4. Если первый платёж покрывает период более 30 дней, скидка применяется только к стоимости первых 30 дней оплачиваемого обслуживания.</w:t>
      </w:r>
    </w:p>
    <w:p>
      <w:pPr>
        <w:pStyle w:val="Heading1"/>
      </w:pPr>
      <w:r>
        <w:t>8. Размер и порядок начисления Вознаграждения</w:t>
      </w:r>
    </w:p>
    <w:p>
      <w:r>
        <w:t>8.1. Базовая ставка Вознаграждения составляет 15% от суммы фактически оплаченной услуги Statify после применения скидок и корректировок.</w:t>
      </w:r>
    </w:p>
    <w:p>
      <w:r>
        <w:t>8.2. Вознаграждение не начисляется за регистрацию, переход, пробный период, создание неоплаченного Магазина, вручную предоставленный неоплаченный доступ, неуспешный платёж, неоказанные дни, периоды после возврата либо периоды после вступления в силу решения о прекращении участия Партнёра из-за Серьёзного нарушения.</w:t>
      </w:r>
    </w:p>
    <w:p>
      <w:r>
        <w:t>8.3. Оплата Клиентом создаёт потенциальную базу Вознаграждения, но не означает немедленного признания всей комиссии заработанной. Вознаграждение начисляется ежедневно за каждый завершённый полный день фактически оказанного оплаченного доступа.</w:t>
      </w:r>
    </w:p>
    <w:p>
      <w:r>
        <w:t>8.4. Ежедневный расчёт выполняется после окончания соответствующего дня по московскому времени. Точная формула учитывает оплаченную сумму, длительность периода, ставку, скидки, возвраты, корректировки и правила округления системы.</w:t>
      </w:r>
    </w:p>
    <w:p>
      <w:r>
        <w:t>8.5. Денежные расчёты ведутся в рублях с точностью до копейки. Каждая дневная сумма определяется и округляется в соответствии с действующими правилами системы.</w:t>
      </w:r>
    </w:p>
    <w:p>
      <w:r>
        <w:t>8.6. Изменение ставки применяется только к будущим периодам, если индивидуальным соглашением или новой редакцией Оферты прямо не предусмотрено иное. Уже закрытые Начисления не уменьшаются задним числом только вследствие изменения ставки.</w:t>
      </w:r>
    </w:p>
    <w:p>
      <w:pPr>
        <w:pStyle w:val="Heading1"/>
      </w:pPr>
      <w:r>
        <w:t>9. Состояния начислений и Реестры выплат</w:t>
      </w:r>
    </w:p>
    <w:p>
      <w:r>
        <w:t>9.1. В кабинете могут отображаться показатели «Начислено», «Доступно к выплате», «Выплачено», а также иные детализации. Отображаемые оперативные показатели могут уточняться до закрытия месяца при выявлении возврата, технической ошибки или недостоверных данных.</w:t>
      </w:r>
    </w:p>
    <w:p>
      <w:r>
        <w:t>9.2. Первого числа нового месяца либо в иной ближайший технически возможный срок Оператор формирует Реестр выплат из закрытых Начислений за предыдущий месяц, которые ранее не включались в другой реестр.</w:t>
      </w:r>
    </w:p>
    <w:p>
      <w:r>
        <w:t>9.3. Реестр может иметь статусы: сформирован (ожидает выплаты), выплачен или отменён. Техническое наименование статуса в интерфейсе может отличаться при сохранении его смысла.</w:t>
      </w:r>
    </w:p>
    <w:p>
      <w:r>
        <w:t>9.4. Одно Начисление не может быть включено более чем в один действующий Реестр. Один Реестр не может быть повторно подтверждён как выплаченный.</w:t>
      </w:r>
    </w:p>
    <w:p>
      <w:r>
        <w:t>9.5. Партнёр обязан проверить Реестр и направить мотивированные возражения через поддержку не позднее 10 календарных дней с даты его отображения. При отсутствии возражений Реестр считается принятым Партнёром, кроме случаев очевидной арифметической или технической ошибки.</w:t>
      </w:r>
    </w:p>
    <w:p>
      <w:pPr>
        <w:pStyle w:val="Heading1"/>
      </w:pPr>
      <w:r>
        <w:t>10. Порядок и сроки выплаты</w:t>
      </w:r>
    </w:p>
    <w:p>
      <w:r>
        <w:t>10.1. Выплаты осуществляются безналичным переводом по подтверждённым реквизитам Партнёра. Автоматическая отправка денег из системы не осуществляется; факт перевода подтверждается уполномоченным администратором.</w:t>
      </w:r>
    </w:p>
    <w:p>
      <w:r>
        <w:t>10.2. При наличии корректных реквизитов, необходимых документов и отсутствии обоснованной проверки Оператор выплачивает сумму Реестра не позднее 30 рабочих дней после окончания срока для возражений по Реестру.</w:t>
      </w:r>
    </w:p>
    <w:p>
      <w:r>
        <w:t>10.3. Если в кабинете установлен минимальный порог выплаты, сумма ниже порога переносится на следующий расчётный период. При отсутствии отображённого порога к выплате подлежит любая положительная сумма Реестра.</w:t>
      </w:r>
    </w:p>
    <w:p>
      <w:r>
        <w:t>10.4. Банковские комиссии банка Партнёра и иные расходы получателя несёт Партнёр. Комиссии банка Оператора несёт Оператор, если иное не следует из выбранного способа платежа.</w:t>
      </w:r>
    </w:p>
    <w:p>
      <w:r>
        <w:t>10.5. Выплата может быть приостановлена при отсутствии или недостоверности реквизитов, неподтверждённом статусе, споре по начислениям, признаках нарушения, требовании государственного органа, блокировке банковской операции либо иной объективной невозможности платежа. Оператор уведомляет Партнёра через кабинет или электронную почту.</w:t>
      </w:r>
    </w:p>
    <w:p>
      <w:r>
        <w:t>10.6. Самозанятый Партнёр обязан сформировать чек после получения оплаты в установленный законом срок и передать его Оператору через кабинет, поддержку или указанный электронный канал. Неисполнение обязанности является основанием для приостановления последующих выплат и возмещения документально подтверждённых потерь Оператора.</w:t>
      </w:r>
    </w:p>
    <w:p>
      <w:r>
        <w:t>10.7. Юридические лица и ИП самостоятельно выставляют документы, если это требуется их налоговым режимом или отдельно согласовано. Если законодательство или применяемый режим допускают расчёты на основании Реестра и электронного отчёта, отдельный акт может не оформляться. Мотивированные возражения к отчёту направляются в срок, установленный пунктом 9.5.</w:t>
      </w:r>
    </w:p>
    <w:p>
      <w:pPr>
        <w:pStyle w:val="Heading1"/>
      </w:pPr>
      <w:r>
        <w:t>11. Налоги и статус Партнёра</w:t>
      </w:r>
    </w:p>
    <w:p>
      <w:r>
        <w:t>11.1. Партнёр самостоятельно исчисляет и уплачивает налоги, сборы и иные обязательные платежи, связанные с получением Вознаграждения, кроме случаев, когда обязанность налогового агента прямо возложена законом на Оператора.</w:t>
      </w:r>
    </w:p>
    <w:p>
      <w:r>
        <w:t>11.2. Партнёр гарантирует достоверность сведений о налоговом статусе и обязан уведомить Оператора об изменении статуса не позднее одного рабочего дня с момента изменения.</w:t>
      </w:r>
    </w:p>
    <w:p>
      <w:r>
        <w:t>11.3. Самозанятый подтверждает, что доход по Оферте допустим для применения НПД, не связан с отношениями с текущим работодателем или бывшим работодателем в пределах запретительного срока, установленного законом, и не превышает установленные ограничения режима.</w:t>
      </w:r>
    </w:p>
    <w:p>
      <w:r>
        <w:t>11.4. Если из-за недостоверных сведений, непередачи чека либо неправомерного применения режима Оператор понёс доначисления, штрафы, пени или иные документально подтверждённые расходы, Партнёр обязан возместить их в части, вызванной его нарушением.</w:t>
      </w:r>
    </w:p>
    <w:p>
      <w:pPr>
        <w:pStyle w:val="Heading1"/>
      </w:pPr>
      <w:r>
        <w:t>12. Возвраты, отмены и корректировки</w:t>
      </w:r>
    </w:p>
    <w:p>
      <w:r>
        <w:t>12.1. При возврате Клиенту Вознаграждение сохраняется только за фактически оказанные дни. Начиная с утверждённой Оператором даты окончания оказания услуги Начисления не создаются либо отменяются.</w:t>
      </w:r>
    </w:p>
    <w:p>
      <w:r>
        <w:t>12.2. Если поздний чарджбэк, платёжный спор, ошибочный платёж или техническая ошибка выявлены после включения Начислений в Реестр либо после выплаты, Оператор вправе провести мотивированную корректировку будущих выплат. Удержание не может превышать документально подтверждённую сумму ошибочно выплаченного Вознаграждения и связанных с ним обязательных расходов.</w:t>
      </w:r>
    </w:p>
    <w:p>
      <w:r>
        <w:t>12.3. Каждая административная корректировка должна иметь основание и сохраняться в истории. Партнёр вправе запросить разъяснение через поддержку без раскрытия информации, составляющей тайну, персональные данные Клиентов или внутренние параметры безопасности.</w:t>
      </w:r>
    </w:p>
    <w:p>
      <w:pPr>
        <w:pStyle w:val="Heading1"/>
      </w:pPr>
      <w:r>
        <w:t>13. Обязанности Партнёра при продвижении</w:t>
      </w:r>
    </w:p>
    <w:p>
      <w:r>
        <w:t>13.1. Партнёр обязан:</w:t>
      </w:r>
    </w:p>
    <w:p>
      <w:pPr>
        <w:pStyle w:val="ListBullet"/>
      </w:pPr>
      <w:r>
        <w:t>распространять достоверную и актуальную информацию о Statify;</w:t>
      </w:r>
    </w:p>
    <w:p>
      <w:pPr>
        <w:pStyle w:val="ListBullet"/>
      </w:pPr>
      <w:r>
        <w:t>соблюдать законодательство о рекламе, конкуренции, персональных данных, интеллектуальной собственности и связи;</w:t>
      </w:r>
    </w:p>
    <w:p>
      <w:pPr>
        <w:pStyle w:val="ListBullet"/>
      </w:pPr>
      <w:r>
        <w:t>при интернет-рекламе обеспечивать маркировку, передачу сведений оператору рекламных данных, получение идентификатора рекламы и исполнение иных обязанностей, если они применимы к конкретному размещению и роли Партнёра;</w:t>
      </w:r>
    </w:p>
    <w:p>
      <w:pPr>
        <w:pStyle w:val="ListBullet"/>
      </w:pPr>
      <w:r>
        <w:t>не создавать впечатление, что Партнёр является сотрудником или официальным представительством Оператора;</w:t>
      </w:r>
    </w:p>
    <w:p>
      <w:pPr>
        <w:pStyle w:val="ListBullet"/>
      </w:pPr>
      <w:r>
        <w:t>не обещать функциональность, доход, результат, скидку или условия, не подтверждённые официальными материалами Statify;</w:t>
      </w:r>
    </w:p>
    <w:p>
      <w:pPr>
        <w:pStyle w:val="ListBullet"/>
      </w:pPr>
      <w:r>
        <w:t>не использовать незаконные рассылки, автоматические переходы, вредоносное ПО, cookie stuffing и иные скрытые способы атрибуции;</w:t>
      </w:r>
    </w:p>
    <w:p>
      <w:pPr>
        <w:pStyle w:val="ListBullet"/>
      </w:pPr>
      <w:r>
        <w:t>не нарушать права на товарные знаки, домены, тексты, изображения и иные объекты;</w:t>
      </w:r>
    </w:p>
    <w:p>
      <w:pPr>
        <w:pStyle w:val="ListBullet"/>
      </w:pPr>
      <w:r>
        <w:t>по запросу Оператора удалить или исправить материал, нарушающий Оферту или законодательство.</w:t>
      </w:r>
    </w:p>
    <w:p>
      <w:r>
        <w:t>13.2. Партнёр самостоятельно отвечает за содержание, маркировку и законность своих рекламных материалов, выбранные площадки, обязательные отчисления и отчётность, если соответствующая обязанность возложена на него законом.</w:t>
      </w:r>
    </w:p>
    <w:p>
      <w:pPr>
        <w:pStyle w:val="Heading1"/>
      </w:pPr>
      <w:r>
        <w:t>14. Запрещённые действия и Серьёзные нарушения</w:t>
      </w:r>
    </w:p>
    <w:p>
      <w:r>
        <w:t>14.1. Запрещаются:</w:t>
      </w:r>
    </w:p>
    <w:p>
      <w:pPr>
        <w:pStyle w:val="ListBullet"/>
      </w:pPr>
      <w:r>
        <w:t>мошенничество, подделка сведений и документов;</w:t>
      </w:r>
    </w:p>
    <w:p>
      <w:pPr>
        <w:pStyle w:val="ListBullet"/>
      </w:pPr>
      <w:r>
        <w:t>искусственная или скрытая атрибуция пользователей, которых Партнёр фактически не привлекал;</w:t>
      </w:r>
    </w:p>
    <w:p>
      <w:pPr>
        <w:pStyle w:val="ListBullet"/>
      </w:pPr>
      <w:r>
        <w:t>вмешательство в работу Statify, обход технических ограничений и несанкционированный доступ;</w:t>
      </w:r>
    </w:p>
    <w:p>
      <w:pPr>
        <w:pStyle w:val="ListBullet"/>
      </w:pPr>
      <w:r>
        <w:t>использование ложной, порочащей, дискриминационной, экстремистской или иной незаконной рекламы;</w:t>
      </w:r>
    </w:p>
    <w:p>
      <w:pPr>
        <w:pStyle w:val="ListBullet"/>
      </w:pPr>
      <w:r>
        <w:t>выдача себя за Оператора, получение денег от Клиентов от имени Statify;</w:t>
      </w:r>
    </w:p>
    <w:p>
      <w:pPr>
        <w:pStyle w:val="ListBullet"/>
      </w:pPr>
      <w:r>
        <w:t>передача доступа к кабинету в целях обхода ограничений;</w:t>
      </w:r>
    </w:p>
    <w:p>
      <w:pPr>
        <w:pStyle w:val="ListBullet"/>
      </w:pPr>
      <w:r>
        <w:t>нарушение конфиденциальности, раскрытие персональных или коммерчески чувствительных данных;</w:t>
      </w:r>
    </w:p>
    <w:p>
      <w:pPr>
        <w:pStyle w:val="ListBullet"/>
      </w:pPr>
      <w:r>
        <w:t>неисполнение законного требования об удалении нарушения;</w:t>
      </w:r>
    </w:p>
    <w:p>
      <w:pPr>
        <w:pStyle w:val="ListBullet"/>
      </w:pPr>
      <w:r>
        <w:t>действия, повлекшие обоснованные претензии государственных органов, площадок или третьих лиц;</w:t>
      </w:r>
    </w:p>
    <w:p>
      <w:pPr>
        <w:pStyle w:val="ListBullet"/>
      </w:pPr>
      <w:r>
        <w:t>иные существенные или неоднократные нарушения Оферты.</w:t>
      </w:r>
    </w:p>
    <w:p>
      <w:r>
        <w:t>14.2. Самостоятельное привлечение Партнёром нового реально оплачивающего Аккаунта или связанного с ним нового бизнеса не признаётся нарушением само по себе, если не сопровождается обманом, повторным использованием ранее известного Магазина, фиктивной оплатой, незаконным возвратом или обходом технических правил.</w:t>
      </w:r>
    </w:p>
    <w:p>
      <w:pPr>
        <w:pStyle w:val="Heading1"/>
      </w:pPr>
      <w:r>
        <w:t>15. Приостановление и прекращение участия</w:t>
      </w:r>
    </w:p>
    <w:p>
      <w:r>
        <w:t>15.1. Партнёр вправе прекратить участие, направив уведомление через поддержку. Новые привлечения прекращаются с момента отключения источников, а расчёты по ранее привлечённым аккаунтам производятся в соответствии с условиями прекращения и применимым законом.</w:t>
      </w:r>
    </w:p>
    <w:p>
      <w:r>
        <w:t>15.2. Оператор вправе временно приостановить новые привлечения или выплаты на время проверки при наличии обоснованных признаков нарушения, не раскрывая методы внутреннего контроля.</w:t>
      </w:r>
    </w:p>
    <w:p>
      <w:r>
        <w:t>15.3. При подтверждённом Серьёзном нарушении Оператор вправе прекратить участие Партнёра, архивировать источники и остановить новые Начисления с даты, указанной в решении. Простое отсутствие новых клиентов, публикаций или входов в кабинет не является основанием для блокировки.</w:t>
      </w:r>
    </w:p>
    <w:p>
      <w:r>
        <w:t>15.4. Законно заработанные и не связанные с нарушением закрытые Начисления не сгорают. Оператор вправе удержать только спорные, ошибочные, полученные вследствие нарушения суммы, а также документально подтверждённые убытки в случаях и пределах, допускаемых законом и Офертой.</w:t>
      </w:r>
    </w:p>
    <w:p>
      <w:r>
        <w:t>15.5. Уведомление о прекращении направляется через кабинет или на электронную почту. Партнёр вправе представить мотивированные возражения в течение 10 календарных дней. Подача возражений не возобновляет участие автоматически.</w:t>
      </w:r>
    </w:p>
    <w:p>
      <w:pPr>
        <w:pStyle w:val="Heading1"/>
      </w:pPr>
      <w:r>
        <w:t>16. Права на бренд и материалы</w:t>
      </w:r>
    </w:p>
    <w:p>
      <w:r>
        <w:t>16.1. Исключительные права на Statify, программное обеспечение, дизайн, тексты, базы данных, товарные знаки и материалы принадлежат Оператору или правообладателям.</w:t>
      </w:r>
    </w:p>
    <w:p>
      <w:r>
        <w:t>16.2. На срок участия Партнёру предоставляется ограниченное, отзывное, неисключительное право использовать официальные материалы и обозначения исключительно для добросовестного продвижения Statify в соответствии с бренд-правилами.</w:t>
      </w:r>
    </w:p>
    <w:p>
      <w:r>
        <w:t>16.3. Партнёр не вправе регистрировать сходные домены, аккаунты, товарные знаки, приложения или рекламные кабинеты, создающие впечатление официального ресурса Statify, без письменного согласия Оператора.</w:t>
      </w:r>
    </w:p>
    <w:p>
      <w:pPr>
        <w:pStyle w:val="Heading1"/>
      </w:pPr>
      <w:r>
        <w:t>17. Конфиденциальность и персональные данные</w:t>
      </w:r>
    </w:p>
    <w:p>
      <w:r>
        <w:t>17.1. Партнёр получает только собственные агрегированные сведения и не приобретает права на персональные данные Клиентов, их платёжные данные, коммерческую информацию и внутренние причины решений Оператора.</w:t>
      </w:r>
    </w:p>
    <w:p>
      <w:r>
        <w:t>17.2. Стороны обязуются не раскрывать конфиденциальные сведения, полученные при исполнении договора, кроме случаев, предусмотренных законом или необходимых для профессиональных консультантов при соблюдении ими конфиденциальности.</w:t>
      </w:r>
    </w:p>
    <w:p>
      <w:r>
        <w:t>17.3. Персональные данные представителей и Партнёров обрабатываются для заключения и исполнения договора, идентификации, выплат, поддержки, безопасности, соблюдения закона и защиты прав Оператора. Подробности определяются Политикой обработки персональных данных Statify.</w:t>
      </w:r>
    </w:p>
    <w:p>
      <w:r>
        <w:t>17.4. Если Партнёр самостоятельно собирает персональные данные для продвижения, он является самостоятельным оператором таких данных и несёт ответственность за законность их сбора и передачи.</w:t>
      </w:r>
    </w:p>
    <w:p>
      <w:pPr>
        <w:pStyle w:val="Heading1"/>
      </w:pPr>
      <w:r>
        <w:t>18. Ответственность и ограничение гарантий</w:t>
      </w:r>
    </w:p>
    <w:p>
      <w:r>
        <w:t>18.1. Стороны отвечают за нарушение обязательств в соответствии с законодательством и Офертой при наличии вины, если законом не предусмотрено иное.</w:t>
      </w:r>
    </w:p>
    <w:p>
      <w:r>
        <w:t>18.2. Оператор не гарантирует Партнёру количество переходов, регистраций, оплат, длительность использования Сервиса Клиентами или размер дохода.</w:t>
      </w:r>
    </w:p>
    <w:p>
      <w:r>
        <w:t>18.3. Оператор не несёт ответственности за убытки, вызванные действиями платёжных систем, банков, рекламных площадок, операторов связи, государственных информационных систем, перебоями сети Интернет или иными обстоятельствами вне разумного контроля Оператора.</w:t>
      </w:r>
    </w:p>
    <w:p>
      <w:r>
        <w:t>18.4. За исключением умысла, нарушения исключительных прав, конфиденциальности и случаев, когда ограничение запрещено законом, совокупная ответственность Оператора по конкретному спору ограничивается суммой Вознаграждения, фактически выплаченной Партнёру за шесть календарных месяцев, предшествующих событию, послужившему основанием требования.</w:t>
      </w:r>
    </w:p>
    <w:p>
      <w:r>
        <w:t>18.5. Партнёр возмещает Оператору документально подтверждённые убытки, штрафы и расходы, возникшие вследствие незаконной рекламы, недостоверных обещаний, нарушения прав третьих лиц, налоговых обязанностей Партнёра или иных виновных действий Партнёра.</w:t>
      </w:r>
    </w:p>
    <w:p>
      <w:pPr>
        <w:pStyle w:val="Heading1"/>
      </w:pPr>
      <w:r>
        <w:t>19. Изменение Оферты и программы</w:t>
      </w:r>
    </w:p>
    <w:p>
      <w:r>
        <w:t>19.1. Оператор вправе изменять Оферту, ставку, правила атрибуции, перечень допустимых каналов, порядок расчётов и функциональность кабинета, публикуя новую редакцию и уведомляя Партнёра через кабинет или электронную почту не менее чем за 10 календарных дней, кроме изменений, необходимых для немедленного соблюдения закона или устранения угрозы безопасности.</w:t>
      </w:r>
    </w:p>
    <w:p>
      <w:r>
        <w:t>19.2. Новая редакция применяется к будущим действиям и расчётным периодам после даты вступления в силу. Уже закрытые Начисления сохраняются, кроме исправления ошибки, возврата, чарджбэка или нарушения.</w:t>
      </w:r>
    </w:p>
    <w:p>
      <w:r>
        <w:t>19.3. Продолжение использования кабинета и Партнёрских источников после вступления изменений в силу означает принятие новой редакции. При несогласии Партнёр обязан прекратить использование источников и направить уведомление о прекращении участия.</w:t>
      </w:r>
    </w:p>
    <w:p>
      <w:pPr>
        <w:pStyle w:val="Heading1"/>
      </w:pPr>
      <w:r>
        <w:t>20. Электронное взаимодействие и доказательства</w:t>
      </w:r>
    </w:p>
    <w:p>
      <w:r>
        <w:t>20.1. Юридически значимые сообщения направляются через кабинет, поддержку, на электронную почту, указанную Партнёром, либо иным согласованным электронным способом.</w:t>
      </w:r>
    </w:p>
    <w:p>
      <w:r>
        <w:t>20.2. Электронные журналы, записи авторизации, нажатия кнопок, версии принятых документов, сообщения поддержки, платёжные сведения и данные кабинета признаются сторонами допустимыми доказательствами, если не доказана их недостоверность.</w:t>
      </w:r>
    </w:p>
    <w:p>
      <w:r>
        <w:t>20.3. Партнёр обязан поддерживать актуальность контактных данных. Риск неполучения сообщения из-за неверного адреса, фильтров, переполнения ящика или неознакомления с уведомлением несёт Партнёр.</w:t>
      </w:r>
    </w:p>
    <w:p>
      <w:pPr>
        <w:pStyle w:val="Heading1"/>
      </w:pPr>
      <w:r>
        <w:t>21. Обстоятельства непреодолимой силы</w:t>
      </w:r>
    </w:p>
    <w:p>
      <w:r>
        <w:t>21.1. Сторона освобождается от ответственности за неисполнение вследствие чрезвычайных и непредотвратимых обстоятельств, включая акты органов власти, военные действия, массовые сбои инфраструктуры, стихийные бедствия и иные обстоятельства непреодолимой силы.</w:t>
      </w:r>
    </w:p>
    <w:p>
      <w:r>
        <w:t>21.2. Сторона уведомляет другую сторону в разумный срок. Отсутствие денежных средств само по себе не является обстоятельством непреодолимой силы.</w:t>
      </w:r>
    </w:p>
    <w:p>
      <w:pPr>
        <w:pStyle w:val="Heading1"/>
      </w:pPr>
      <w:r>
        <w:t>22. Претензионный порядок и споры</w:t>
      </w:r>
    </w:p>
    <w:p>
      <w:r>
        <w:t>22.1. До обращения в суд сторона направляет письменную претензию через согласованный электронный канал или заказным письмом. Срок ответа — 20 рабочих дней с даты получения.</w:t>
      </w:r>
    </w:p>
    <w:p>
      <w:r>
        <w:t>22.2. К отношениям применяется право Российской Федерации.</w:t>
      </w:r>
    </w:p>
    <w:p>
      <w:r>
        <w:t>22.3. Споры с юридическими лицами и индивидуальными предпринимателями рассматриваются арбитражным судом по месту нахождения Оператора, если императивными нормами не установлено иное. Споры с плательщиками НПД рассматриваются судом, определяемым по правилам процессуального законодательства Российской Федерации.</w:t>
      </w:r>
    </w:p>
    <w:p>
      <w:pPr>
        <w:pStyle w:val="Heading1"/>
      </w:pPr>
      <w:r>
        <w:t>23. Срок действия и заключительные положения</w:t>
      </w:r>
    </w:p>
    <w:p>
      <w:r>
        <w:t>23.1. Договор действует с момента акцепта до прекращения участия Партнёра или отмены Оферты Оператором.</w:t>
      </w:r>
    </w:p>
    <w:p>
      <w:r>
        <w:t>23.2. Недействительность отдельного положения не влечёт недействительность остальных положений. Стороны применяют наиболее близкое по смыслу допустимое регулирование.</w:t>
      </w:r>
    </w:p>
    <w:p>
      <w:r>
        <w:t>23.3. Заголовки используются для удобства и не ограничивают содержание положений.</w:t>
      </w:r>
    </w:p>
    <w:p>
      <w:r>
        <w:t>23.4. Оператор вправе привлекать третьих лиц для технического, платёжного, бухгалтерского и юридического сопровождения, оставаясь ответственным за свои обязательства перед Партнёром.</w:t>
      </w:r>
    </w:p>
    <w:p>
      <w:r>
        <w:t>23.5. Уступка Партнёром прав на Вознаграждение и передача договора третьему лицу допускаются только с предварительного письменного согласия Оператора, если закон не требует иного.</w:t>
      </w:r>
    </w:p>
    <w:p>
      <w:pPr>
        <w:pStyle w:val="Heading1"/>
      </w:pPr>
      <w:r>
        <w:t>24. Реквизиты Оператора</w:t>
      </w:r>
    </w:p>
    <w:tbl>
      <w:tblPr>
        <w:tblStyle w:val="TableGrid"/>
        <w:tblW w:type="auto" w:w="0"/>
        <w:jc w:val="center"/>
        <w:tblLook w:firstColumn="1" w:firstRow="1" w:lastColumn="0" w:lastRow="0" w:noHBand="0" w:noVBand="1" w:val="04A0"/>
      </w:tblPr>
      <w:tblGrid>
        <w:gridCol w:w="4986"/>
        <w:gridCol w:w="4986"/>
      </w:tblGrid>
      <w:tr>
        <w:tc>
          <w:tcPr>
            <w:tcW w:type="dxa" w:w="4986"/>
            <w:shd w:fill="EAF0F7"/>
          </w:tcPr>
          <w:p>
            <w:r>
              <w:t>Полное наименование</w:t>
            </w:r>
          </w:p>
        </w:tc>
        <w:tc>
          <w:tcPr>
            <w:tcW w:type="dxa" w:w="4986"/>
          </w:tcPr>
          <w:p>
            <w:r>
              <w:t>Индивидуальный предприниматель Варенцова Наталья Владимировна</w:t>
            </w:r>
          </w:p>
        </w:tc>
      </w:tr>
      <w:tr>
        <w:tc>
          <w:tcPr>
            <w:tcW w:type="dxa" w:w="4986"/>
            <w:shd w:fill="EAF0F7"/>
          </w:tcPr>
          <w:p>
            <w:r>
              <w:t>ИНН</w:t>
            </w:r>
          </w:p>
        </w:tc>
        <w:tc>
          <w:tcPr>
            <w:tcW w:type="dxa" w:w="4986"/>
          </w:tcPr>
          <w:p>
            <w:r>
              <w:t>503208949510</w:t>
            </w:r>
          </w:p>
        </w:tc>
      </w:tr>
      <w:tr>
        <w:tc>
          <w:tcPr>
            <w:tcW w:type="dxa" w:w="4986"/>
            <w:shd w:fill="EAF0F7"/>
          </w:tcPr>
          <w:p>
            <w:r>
              <w:t>ОГРНИП</w:t>
            </w:r>
          </w:p>
        </w:tc>
        <w:tc>
          <w:tcPr>
            <w:tcW w:type="dxa" w:w="4986"/>
          </w:tcPr>
          <w:p>
            <w:r>
              <w:t>319508100111701</w:t>
            </w:r>
          </w:p>
        </w:tc>
      </w:tr>
      <w:tr>
        <w:tc>
          <w:tcPr>
            <w:tcW w:type="dxa" w:w="4986"/>
            <w:shd w:fill="EAF0F7"/>
          </w:tcPr>
          <w:p>
            <w:r>
              <w:t>Адрес</w:t>
            </w:r>
          </w:p>
        </w:tc>
        <w:tc>
          <w:tcPr>
            <w:tcW w:type="dxa" w:w="4986"/>
          </w:tcPr>
          <w:p>
            <w:r>
              <w:t>143078, Московская область, Одинцовский район, п. Кубинка-10, д. 23, кв. 60</w:t>
            </w:r>
          </w:p>
        </w:tc>
      </w:tr>
      <w:tr>
        <w:tc>
          <w:tcPr>
            <w:tcW w:type="dxa" w:w="4986"/>
            <w:shd w:fill="EAF0F7"/>
          </w:tcPr>
          <w:p>
            <w:r>
              <w:t>Расчётный счёт</w:t>
            </w:r>
          </w:p>
        </w:tc>
        <w:tc>
          <w:tcPr>
            <w:tcW w:type="dxa" w:w="4986"/>
          </w:tcPr>
          <w:p>
            <w:r>
              <w:t>40802810500001544453</w:t>
            </w:r>
          </w:p>
        </w:tc>
      </w:tr>
      <w:tr>
        <w:tc>
          <w:tcPr>
            <w:tcW w:type="dxa" w:w="4986"/>
            <w:shd w:fill="EAF0F7"/>
          </w:tcPr>
          <w:p>
            <w:r>
              <w:t>Банк</w:t>
            </w:r>
          </w:p>
        </w:tc>
        <w:tc>
          <w:tcPr>
            <w:tcW w:type="dxa" w:w="4986"/>
          </w:tcPr>
          <w:p>
            <w:r>
              <w:t>АО «ТИНЬКОФФ БАНК»</w:t>
            </w:r>
          </w:p>
        </w:tc>
      </w:tr>
      <w:tr>
        <w:tc>
          <w:tcPr>
            <w:tcW w:type="dxa" w:w="4986"/>
            <w:shd w:fill="EAF0F7"/>
          </w:tcPr>
          <w:p>
            <w:r>
              <w:t>БИК</w:t>
            </w:r>
          </w:p>
        </w:tc>
        <w:tc>
          <w:tcPr>
            <w:tcW w:type="dxa" w:w="4986"/>
          </w:tcPr>
          <w:p>
            <w:r>
              <w:t>044525974</w:t>
            </w:r>
          </w:p>
        </w:tc>
      </w:tr>
      <w:tr>
        <w:tc>
          <w:tcPr>
            <w:tcW w:type="dxa" w:w="4986"/>
            <w:shd w:fill="EAF0F7"/>
          </w:tcPr>
          <w:p>
            <w:r>
              <w:t>Корреспондентский счёт</w:t>
            </w:r>
          </w:p>
        </w:tc>
        <w:tc>
          <w:tcPr>
            <w:tcW w:type="dxa" w:w="4986"/>
          </w:tcPr>
          <w:p>
            <w:r>
              <w:t>30101810145250000974</w:t>
            </w:r>
          </w:p>
        </w:tc>
      </w:tr>
      <w:tr>
        <w:tc>
          <w:tcPr>
            <w:tcW w:type="dxa" w:w="4986"/>
            <w:shd w:fill="EAF0F7"/>
          </w:tcPr>
          <w:p>
            <w:r>
              <w:t>Сайт</w:t>
            </w:r>
          </w:p>
        </w:tc>
        <w:tc>
          <w:tcPr>
            <w:tcW w:type="dxa" w:w="4986"/>
          </w:tcPr>
          <w:p>
            <w:r>
              <w:t>statify.ru</w:t>
            </w:r>
          </w:p>
        </w:tc>
      </w:tr>
      <w:tr>
        <w:tc>
          <w:tcPr>
            <w:tcW w:type="dxa" w:w="4986"/>
            <w:shd w:fill="EAF0F7"/>
          </w:tcPr>
          <w:p>
            <w:r>
              <w:t>Канал обращений</w:t>
            </w:r>
          </w:p>
        </w:tc>
        <w:tc>
          <w:tcPr>
            <w:tcW w:type="dxa" w:w="4986"/>
          </w:tcPr>
          <w:p>
            <w:r>
              <w:t>партнёрский кабинет и раздел поддержки Statify</w:t>
            </w:r>
          </w:p>
        </w:tc>
      </w:tr>
    </w:tbl>
    <w:p/>
    <w:p>
      <w:pPr/>
      <w:r>
        <w:t>Индивидуальный предприниматель Варенцова Наталья Владимировна</w:t>
      </w:r>
    </w:p>
    <w:p>
      <w:pPr/>
      <w:r>
        <w:t>Адрес: 143078, Московская область, Одинцовский район, п. Кубинка-10, дом 23, кв. 60</w:t>
      </w:r>
    </w:p>
    <w:p>
      <w:pPr/>
      <w:r>
        <w:t>ИНН: 503208949510</w:t>
      </w:r>
    </w:p>
    <w:p>
      <w:pPr/>
      <w:r>
        <w:t>ОГРНИП: 319508100111701</w:t>
      </w:r>
    </w:p>
    <w:p>
      <w:pPr/>
      <w:r>
        <w:t>Расчётный счёт: 40802810500001544453</w:t>
      </w:r>
    </w:p>
    <w:p>
      <w:pPr/>
      <w:r>
        <w:t>Банк: АО «ТИНЬКОФФ БАНК»</w:t>
      </w:r>
    </w:p>
    <w:p>
      <w:pPr/>
      <w:r>
        <w:t>БИК: 044525974</w:t>
      </w:r>
    </w:p>
    <w:p>
      <w:pPr/>
      <w:r>
        <w:t>Корреспондентский счёт: 30101810145250000974</w:t>
      </w:r>
    </w:p>
    <w:sectPr w:rsidR="00FC693F" w:rsidRPr="0006063C" w:rsidSect="00034616">
      <w:headerReference w:type="default" r:id="rId9"/>
      <w:footerReference w:type="default" r:id="rId10"/>
      <w:pgSz w:w="12240" w:h="15840"/>
      <w:pgMar w:top="1134"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6"/>
      </w:rPr>
      <w:t xml:space="preserve">Страница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E6E6E"/>
        <w:sz w:val="16"/>
      </w:rPr>
      <w:t>STATIFY • ПАРТНЁРСКАЯ ПРОГРАММА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eastAsia="Arial"/>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120"/>
    </w:pPr>
    <w:rPr>
      <w:rFonts w:ascii="Arial" w:hAnsi="Arial" w:eastAsia="Arial"/>
      <w:i/>
      <w:color w:val="5A5A5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партнёрской программы Statify</dc:title>
  <dc:subject>Редакция от 26 июля 2026 года</dc:subject>
  <dc:creator>Statify</dc:creator>
  <cp:keywords>Statify, партнёрская программа, публичная оферта</cp:keywords>
  <dc:description>generated by python-docx</dc:description>
  <cp:lastModifiedBy/>
  <cp:revision>1</cp:revision>
  <dcterms:created xsi:type="dcterms:W3CDTF">2013-12-23T23:15:00Z</dcterms:created>
  <dcterms:modified xsi:type="dcterms:W3CDTF">2013-12-23T23:15:00Z</dcterms:modified>
  <cp:category/>
</cp:coreProperties>
</file>